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F1A" w:rsidRPr="00CB2DE6" w:rsidRDefault="00CB2DE6" w:rsidP="002C5F1A">
      <w:pPr>
        <w:jc w:val="both"/>
        <w:rPr>
          <w:rFonts w:ascii="TT Supermolot" w:hAnsi="TT Supermolot"/>
          <w:b/>
          <w:bCs/>
          <w:sz w:val="64"/>
          <w:szCs w:val="64"/>
          <w:lang w:val="en-US"/>
        </w:rPr>
      </w:pPr>
      <w:r w:rsidRPr="00CB2DE6">
        <w:rPr>
          <w:rFonts w:ascii="TT Supermolot" w:hAnsi="TT Supermolot" w:cstheme="minorHAnsi"/>
          <w:b/>
          <w:bCs/>
          <w:sz w:val="64"/>
          <w:szCs w:val="64"/>
          <w:lang w:val="en-US"/>
        </w:rPr>
        <w:t>Ethics and Malpractice Policy</w:t>
      </w:r>
      <w:r w:rsidR="002C5F1A" w:rsidRPr="00CB2DE6">
        <w:rPr>
          <w:rFonts w:ascii="TT Supermolot" w:hAnsi="TT Supermolot"/>
          <w:b/>
          <w:bCs/>
          <w:sz w:val="64"/>
          <w:szCs w:val="64"/>
          <w:lang w:val="en-US"/>
        </w:rPr>
        <w:t xml:space="preserve"> </w:t>
      </w:r>
    </w:p>
    <w:p w:rsidR="002C5F1A" w:rsidRPr="00CB2DE6" w:rsidRDefault="002C5F1A" w:rsidP="002C5F1A">
      <w:pPr>
        <w:jc w:val="both"/>
        <w:rPr>
          <w:rFonts w:ascii="TT Supermolot" w:hAnsi="TT Supermolot"/>
          <w:sz w:val="24"/>
          <w:szCs w:val="24"/>
          <w:lang w:val="en-US"/>
        </w:rPr>
      </w:pPr>
    </w:p>
    <w:p w:rsidR="002C5F1A" w:rsidRPr="00CB2DE6" w:rsidRDefault="002C5F1A" w:rsidP="002C5F1A">
      <w:pPr>
        <w:jc w:val="both"/>
        <w:rPr>
          <w:rFonts w:ascii="TT Supermolot" w:hAnsi="TT Supermolot"/>
          <w:lang w:val="en-US"/>
        </w:rPr>
      </w:pP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Publication Ethics and Malpractice Statement</w:t>
      </w:r>
    </w:p>
    <w:p w:rsidR="00CB2DE6" w:rsidRPr="00CB2DE6" w:rsidRDefault="00CB2DE6" w:rsidP="00CB2DE6">
      <w:pPr>
        <w:rPr>
          <w:rFonts w:ascii="TT Supermolot" w:hAnsi="TT Supermolot" w:cstheme="minorHAnsi"/>
          <w:b/>
          <w:bCs/>
          <w:i/>
          <w:iCs/>
          <w:sz w:val="20"/>
          <w:szCs w:val="20"/>
          <w:lang w:val="en-US"/>
        </w:rPr>
      </w:pPr>
      <w:r w:rsidRPr="00CB2DE6">
        <w:rPr>
          <w:rFonts w:ascii="TT Supermolot" w:hAnsi="TT Supermolot" w:cstheme="minorHAnsi"/>
          <w:b/>
          <w:bCs/>
          <w:i/>
          <w:iCs/>
          <w:sz w:val="20"/>
          <w:szCs w:val="20"/>
          <w:lang w:val="en-US"/>
        </w:rPr>
        <w:t>Transactions on Aerospace Research</w:t>
      </w: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Łukasiewicz Research Network – Institute of Aviation, Warsaw</w:t>
      </w:r>
    </w:p>
    <w:p w:rsidR="002C5F1A" w:rsidRPr="00CB2DE6" w:rsidRDefault="002C5F1A" w:rsidP="002C5F1A">
      <w:pPr>
        <w:jc w:val="both"/>
        <w:rPr>
          <w:rFonts w:ascii="TT Supermolot" w:hAnsi="TT Supermolot"/>
          <w:b/>
          <w:bCs/>
          <w:sz w:val="20"/>
          <w:szCs w:val="20"/>
          <w:lang w:val="en-US"/>
        </w:rPr>
      </w:pPr>
    </w:p>
    <w:p w:rsidR="002C5F1A" w:rsidRPr="00CB2DE6" w:rsidRDefault="002C5F1A" w:rsidP="002C5F1A">
      <w:pPr>
        <w:jc w:val="both"/>
        <w:rPr>
          <w:rFonts w:ascii="TT Supermolot" w:hAnsi="TT Supermolot"/>
          <w:sz w:val="20"/>
          <w:szCs w:val="20"/>
          <w:lang w:val="en-US"/>
        </w:rPr>
      </w:pP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1. Introduction</w:t>
      </w: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sz w:val="20"/>
          <w:szCs w:val="20"/>
          <w:lang w:val="en-US"/>
        </w:rPr>
        <w:t xml:space="preserve">This Publishing Ethics and Malpractice Statement for </w:t>
      </w:r>
      <w:r w:rsidRPr="00CB2DE6">
        <w:rPr>
          <w:rFonts w:ascii="TT Supermolot" w:hAnsi="TT Supermolot" w:cstheme="minorHAnsi"/>
          <w:i/>
          <w:iCs/>
          <w:sz w:val="20"/>
          <w:szCs w:val="20"/>
          <w:lang w:val="en-US"/>
        </w:rPr>
        <w:t>Transactions on Aerospace Research</w:t>
      </w:r>
      <w:r w:rsidRPr="00CB2DE6">
        <w:rPr>
          <w:rFonts w:ascii="TT Supermolot" w:hAnsi="TT Supermolot" w:cstheme="minorHAnsi"/>
          <w:sz w:val="20"/>
          <w:szCs w:val="20"/>
          <w:lang w:val="en-US"/>
        </w:rPr>
        <w:t xml:space="preserve"> embodies our commitment to the highest standards of integrity in scientific publishing. The statement delineates the ethical responsibilities and duties of all parties involved in the publication process: the publisher, editors, peer reviewers, and authors. In adhering to these standards, the journal ensures a rigorous, fair, and transparent peer-review process, safeguarding the integrity of the academic record.</w:t>
      </w:r>
    </w:p>
    <w:p w:rsidR="00CB2DE6" w:rsidRPr="00CB2DE6" w:rsidRDefault="00CB2DE6" w:rsidP="00CB2DE6">
      <w:pPr>
        <w:rPr>
          <w:rFonts w:ascii="TT Supermolot" w:hAnsi="TT Supermolot" w:cstheme="minorHAnsi"/>
          <w:sz w:val="20"/>
          <w:szCs w:val="20"/>
          <w:lang w:val="en-US"/>
        </w:rPr>
      </w:pP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2. Publisher’s Responsibilities</w:t>
      </w: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sz w:val="20"/>
          <w:szCs w:val="20"/>
          <w:lang w:val="en-US"/>
        </w:rPr>
        <w:t>The publisher upholds the autonomy of editorial decisions, ensuring a clear separation between commercial interests and editorial content. The publisher is responsible for overseeing the entire publishing process, committed to protecting intellectual property rights and ensuring the accessibility and preservation of published content. Additionally, the publisher supports the communication of corrections, retractions, and apologies as necessary, maintaining the integrity of the academic record.</w:t>
      </w:r>
    </w:p>
    <w:p w:rsidR="00CB2DE6" w:rsidRPr="00CB2DE6" w:rsidRDefault="00CB2DE6" w:rsidP="00CB2DE6">
      <w:pPr>
        <w:rPr>
          <w:rFonts w:ascii="TT Supermolot" w:hAnsi="TT Supermolot" w:cstheme="minorHAnsi"/>
          <w:sz w:val="20"/>
          <w:szCs w:val="20"/>
          <w:lang w:val="en-US"/>
        </w:rPr>
      </w:pP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3. Editors’ Responsibilities</w:t>
      </w: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sz w:val="20"/>
          <w:szCs w:val="20"/>
          <w:lang w:val="en-US"/>
        </w:rPr>
        <w:t xml:space="preserve">Editors bear the responsibility of making impartial and unbiased decisions, independent of commercial considerations, focusing solely on the academic merit and relevance of submissions. They ensure confidentiality in the review process, respect the intellectual independence of authors, and actively engage in enhancing the journal's processes. The editors' decisions are uninfluenced by the authors' race, gender, sexual orientation, ethnic origin, citizenship, religious belief, political philosophy, or institutional affiliation. The journal’s Editors plays a crucial role in handling and resolving any conflicts between authors, reviewers, and the editorial staff. </w:t>
      </w:r>
      <w:r w:rsidRPr="00CB2DE6">
        <w:rPr>
          <w:rFonts w:ascii="TT Supermolot" w:hAnsi="TT Supermolot" w:cstheme="minorHAnsi"/>
          <w:i/>
          <w:iCs/>
          <w:sz w:val="20"/>
          <w:szCs w:val="20"/>
          <w:lang w:val="en-US"/>
        </w:rPr>
        <w:t>Transactions on Aerospace Research</w:t>
      </w:r>
      <w:r w:rsidRPr="00CB2DE6">
        <w:rPr>
          <w:rFonts w:ascii="TT Supermolot" w:hAnsi="TT Supermolot" w:cstheme="minorHAnsi"/>
          <w:sz w:val="20"/>
          <w:szCs w:val="20"/>
          <w:lang w:val="en-US"/>
        </w:rPr>
        <w:t xml:space="preserve"> takes any and all allegations of research misconduct seriously. This includes, but is not limited to, plagiarism, citation manipulation, and data falsification/fabrication. Upon receiving an allegation, the journal follows </w:t>
      </w:r>
      <w:proofErr w:type="spellStart"/>
      <w:r w:rsidRPr="00CB2DE6">
        <w:rPr>
          <w:rFonts w:ascii="TT Supermolot" w:hAnsi="TT Supermolot" w:cstheme="minorHAnsi"/>
          <w:sz w:val="20"/>
          <w:szCs w:val="20"/>
          <w:lang w:val="en-US"/>
        </w:rPr>
        <w:t>COPE’s</w:t>
      </w:r>
      <w:proofErr w:type="spellEnd"/>
      <w:r w:rsidRPr="00CB2DE6">
        <w:rPr>
          <w:rFonts w:ascii="TT Supermolot" w:hAnsi="TT Supermolot" w:cstheme="minorHAnsi"/>
          <w:sz w:val="20"/>
          <w:szCs w:val="20"/>
          <w:lang w:val="en-US"/>
        </w:rPr>
        <w:t xml:space="preserve"> guidelines (or equivalent) to investigate and resolve the issue.</w:t>
      </w:r>
    </w:p>
    <w:p w:rsidR="00CB2DE6" w:rsidRPr="00CB2DE6" w:rsidRDefault="00CB2DE6" w:rsidP="00CB2DE6">
      <w:pPr>
        <w:rPr>
          <w:rFonts w:ascii="TT Supermolot" w:hAnsi="TT Supermolot" w:cstheme="minorHAnsi"/>
          <w:sz w:val="20"/>
          <w:szCs w:val="20"/>
          <w:lang w:val="en-US"/>
        </w:rPr>
      </w:pPr>
    </w:p>
    <w:p w:rsidR="00452EEB" w:rsidRDefault="00452EEB">
      <w:pPr>
        <w:rPr>
          <w:rFonts w:ascii="TT Supermolot" w:hAnsi="TT Supermolot" w:cstheme="minorHAnsi"/>
          <w:b/>
          <w:bCs/>
          <w:sz w:val="20"/>
          <w:szCs w:val="20"/>
          <w:lang w:val="en-US"/>
        </w:rPr>
      </w:pPr>
      <w:r>
        <w:rPr>
          <w:rFonts w:ascii="TT Supermolot" w:hAnsi="TT Supermolot" w:cstheme="minorHAnsi"/>
          <w:b/>
          <w:bCs/>
          <w:sz w:val="20"/>
          <w:szCs w:val="20"/>
          <w:lang w:val="en-US"/>
        </w:rPr>
        <w:br w:type="page"/>
      </w: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lastRenderedPageBreak/>
        <w:t>4. Reviewers’ Responsibilities</w:t>
      </w: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sz w:val="20"/>
          <w:szCs w:val="20"/>
          <w:lang w:val="en-US"/>
        </w:rPr>
        <w:t>Reviewers play a crucial role in maintaining the integrity of the review process. They are required to treat manuscripts as confidential documents and refrain from using information obtained during the review for personal gain. Reviewers must objectively judge the quality of a manuscript on its own merit, respecting the intellectual independence of the authors. Personal criticism is inappropriate. Reviewers should avoid conflicts of interest, disclose any potential bias, and treat the manuscript as a confidential document, not to be shown or discussed with others except for specific advice. Reviewers must provide clear, complete, and cogent explanations for their judgments, especially for negative feedback, and notify the editor of any substantial similarity with other works.</w:t>
      </w:r>
    </w:p>
    <w:p w:rsidR="00CB2DE6" w:rsidRPr="00CB2DE6" w:rsidRDefault="00CB2DE6" w:rsidP="00CB2DE6">
      <w:pPr>
        <w:rPr>
          <w:rFonts w:ascii="TT Supermolot" w:hAnsi="TT Supermolot" w:cstheme="minorHAnsi"/>
          <w:sz w:val="20"/>
          <w:szCs w:val="20"/>
          <w:lang w:val="en-US"/>
        </w:rPr>
      </w:pP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5. Authors’ Responsibilities</w:t>
      </w: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sz w:val="20"/>
          <w:szCs w:val="20"/>
          <w:lang w:val="en-US"/>
        </w:rPr>
        <w:t>Authors are expected to present a comprehensive and accurate account of their research, ensuring originality and proper citation of previous work. The submitted manuscript must contain detail and references to public sources of information sufficient for peers to replicate the work or verify its accuracy. Authors must cite and attribute publications influential in shaping the reported work and avoid using information obtained privately without explicit permission. The manuscript should not contain plagiarized material, falsified research data, or inappropriate fragmentation of research papers. Additionally, authors must inform the editor of related manuscripts under consideration elsewhere and avoid submitting the same research to multiple journals. Authors must secure any and all necessary permissions for the use of copyrighted material and ensure ethical compliance in research involving humans or animals.</w:t>
      </w:r>
    </w:p>
    <w:p w:rsidR="00CB2DE6" w:rsidRPr="00CB2DE6" w:rsidRDefault="00CB2DE6" w:rsidP="00CB2DE6">
      <w:pPr>
        <w:rPr>
          <w:rFonts w:ascii="TT Supermolot" w:hAnsi="TT Supermolot" w:cstheme="minorHAnsi"/>
          <w:sz w:val="20"/>
          <w:szCs w:val="20"/>
          <w:lang w:val="en-US"/>
        </w:rPr>
      </w:pP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6. Ethical Oversight and Handling of Unethical Publishing Behavior</w:t>
      </w: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sz w:val="20"/>
          <w:szCs w:val="20"/>
          <w:lang w:val="en-US"/>
        </w:rPr>
        <w:t xml:space="preserve">The journal maintains ethical oversight throughout the publication process to uphold the standards expected in scientific publishing. In cases of unethical behavior, such as disputed authorship, research fraud, or plagiarism, the journal will investigate and act in accordance with COPE guidelines. Allegations of scientific misconduct or fraudulent publication will result in appropriate actions, including publication corrections, retractions, or article removal, with transparency in the resolution process. Such incidents will moreover be reported to the respective authorities.  </w:t>
      </w:r>
    </w:p>
    <w:p w:rsidR="00CB2DE6" w:rsidRPr="00CB2DE6" w:rsidRDefault="00CB2DE6" w:rsidP="00CB2DE6">
      <w:pPr>
        <w:rPr>
          <w:rFonts w:ascii="TT Supermolot" w:hAnsi="TT Supermolot" w:cstheme="minorHAnsi"/>
          <w:sz w:val="20"/>
          <w:szCs w:val="20"/>
          <w:lang w:val="en-US"/>
        </w:rPr>
      </w:pP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7. Open Access and Fees</w:t>
      </w: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i/>
          <w:iCs/>
          <w:sz w:val="20"/>
          <w:szCs w:val="20"/>
          <w:lang w:val="en-US"/>
        </w:rPr>
        <w:t>Transactions on Aerospace Research</w:t>
      </w:r>
      <w:r w:rsidRPr="00CB2DE6">
        <w:rPr>
          <w:rFonts w:ascii="TT Supermolot" w:hAnsi="TT Supermolot" w:cstheme="minorHAnsi"/>
          <w:sz w:val="20"/>
          <w:szCs w:val="20"/>
          <w:lang w:val="en-US"/>
        </w:rPr>
        <w:t xml:space="preserve"> is an Open Access journal, offering increased visibility and impact for authors' work. </w:t>
      </w:r>
      <w:r w:rsidRPr="00CB2DE6">
        <w:rPr>
          <w:rFonts w:ascii="TT Supermolot" w:hAnsi="TT Supermolot" w:cstheme="minorHAnsi"/>
          <w:b/>
          <w:bCs/>
          <w:sz w:val="20"/>
          <w:szCs w:val="20"/>
          <w:lang w:val="en-US"/>
        </w:rPr>
        <w:t>We do not charge any article processing charges or other publication fees.</w:t>
      </w:r>
      <w:r w:rsidRPr="00CB2DE6">
        <w:rPr>
          <w:rFonts w:ascii="TT Supermolot" w:hAnsi="TT Supermolot" w:cstheme="minorHAnsi"/>
          <w:sz w:val="20"/>
          <w:szCs w:val="20"/>
          <w:lang w:val="en-US"/>
        </w:rPr>
        <w:t xml:space="preserve"> This approach aligns with our mission to disseminate cutting-edge research freely and widely.</w:t>
      </w:r>
    </w:p>
    <w:p w:rsidR="00CB2DE6" w:rsidRPr="00CB2DE6" w:rsidRDefault="00CB2DE6" w:rsidP="00CB2DE6">
      <w:pPr>
        <w:rPr>
          <w:rFonts w:ascii="TT Supermolot" w:hAnsi="TT Supermolot" w:cstheme="minorHAnsi"/>
          <w:sz w:val="20"/>
          <w:szCs w:val="20"/>
          <w:lang w:val="en-US"/>
        </w:rPr>
      </w:pP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t>8. Journal Policies on Data Sharing and Reproducibility</w:t>
      </w: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i/>
          <w:iCs/>
          <w:sz w:val="20"/>
          <w:szCs w:val="20"/>
          <w:lang w:val="en-US"/>
        </w:rPr>
        <w:t>Transactions on Aerospace Research</w:t>
      </w:r>
      <w:r w:rsidRPr="00CB2DE6">
        <w:rPr>
          <w:rFonts w:ascii="TT Supermolot" w:hAnsi="TT Supermolot" w:cstheme="minorHAnsi"/>
          <w:sz w:val="20"/>
          <w:szCs w:val="20"/>
          <w:lang w:val="en-US"/>
        </w:rPr>
        <w:t xml:space="preserve"> encourages authors to share their data and methods used in their research in a responsible and ethical manner. Authors are encouraged to provide access to data that supports their research findings, where appropriate and feasible, in accordance with disciplinary norms and expectations. The journal supports the replication and reproducibility of research and encourages authors to be transparent about the reproducibility of their results.</w:t>
      </w:r>
    </w:p>
    <w:p w:rsidR="00CB2DE6" w:rsidRPr="00CB2DE6" w:rsidRDefault="00CB2DE6" w:rsidP="00CB2DE6">
      <w:pPr>
        <w:rPr>
          <w:rFonts w:ascii="TT Supermolot" w:hAnsi="TT Supermolot" w:cstheme="minorHAnsi"/>
          <w:sz w:val="20"/>
          <w:szCs w:val="20"/>
          <w:lang w:val="en-US"/>
        </w:rPr>
      </w:pPr>
    </w:p>
    <w:p w:rsidR="00452EEB" w:rsidRDefault="00452EEB">
      <w:pPr>
        <w:rPr>
          <w:rFonts w:ascii="TT Supermolot" w:hAnsi="TT Supermolot" w:cstheme="minorHAnsi"/>
          <w:b/>
          <w:bCs/>
          <w:sz w:val="20"/>
          <w:szCs w:val="20"/>
          <w:lang w:val="en-US"/>
        </w:rPr>
      </w:pPr>
      <w:r>
        <w:rPr>
          <w:rFonts w:ascii="TT Supermolot" w:hAnsi="TT Supermolot" w:cstheme="minorHAnsi"/>
          <w:b/>
          <w:bCs/>
          <w:sz w:val="20"/>
          <w:szCs w:val="20"/>
          <w:lang w:val="en-US"/>
        </w:rPr>
        <w:br w:type="page"/>
      </w:r>
    </w:p>
    <w:p w:rsidR="00CB2DE6" w:rsidRPr="00CB2DE6" w:rsidRDefault="00CB2DE6" w:rsidP="00CB2DE6">
      <w:pPr>
        <w:rPr>
          <w:rFonts w:ascii="TT Supermolot" w:hAnsi="TT Supermolot" w:cstheme="minorHAnsi"/>
          <w:b/>
          <w:bCs/>
          <w:sz w:val="20"/>
          <w:szCs w:val="20"/>
          <w:lang w:val="en-US"/>
        </w:rPr>
      </w:pPr>
      <w:r w:rsidRPr="00CB2DE6">
        <w:rPr>
          <w:rFonts w:ascii="TT Supermolot" w:hAnsi="TT Supermolot" w:cstheme="minorHAnsi"/>
          <w:b/>
          <w:bCs/>
          <w:sz w:val="20"/>
          <w:szCs w:val="20"/>
          <w:lang w:val="en-US"/>
        </w:rPr>
        <w:lastRenderedPageBreak/>
        <w:t>9. Post-Publication Discussions and Corrections</w:t>
      </w:r>
    </w:p>
    <w:p w:rsidR="00CB2DE6" w:rsidRPr="00CB2DE6" w:rsidRDefault="00CB2DE6" w:rsidP="00452EEB">
      <w:pPr>
        <w:spacing w:after="0"/>
        <w:rPr>
          <w:rFonts w:ascii="TT Supermolot" w:hAnsi="TT Supermolot" w:cstheme="minorHAnsi"/>
          <w:sz w:val="20"/>
          <w:szCs w:val="20"/>
          <w:lang w:val="en-US"/>
        </w:rPr>
      </w:pPr>
      <w:r w:rsidRPr="00CB2DE6">
        <w:rPr>
          <w:rFonts w:ascii="TT Supermolot" w:hAnsi="TT Supermolot" w:cstheme="minorHAnsi"/>
          <w:sz w:val="20"/>
          <w:szCs w:val="20"/>
          <w:lang w:val="en-US"/>
        </w:rPr>
        <w:t>The journal provides a platform for post-publication discussion to facilitate scientific discourse.</w:t>
      </w:r>
    </w:p>
    <w:p w:rsidR="00CB2DE6" w:rsidRPr="00CB2DE6" w:rsidRDefault="00CB2DE6" w:rsidP="00452EEB">
      <w:pPr>
        <w:spacing w:after="0"/>
        <w:rPr>
          <w:rFonts w:ascii="TT Supermolot" w:hAnsi="TT Supermolot" w:cstheme="minorHAnsi"/>
          <w:sz w:val="20"/>
          <w:szCs w:val="20"/>
          <w:lang w:val="en-US"/>
        </w:rPr>
      </w:pPr>
      <w:r w:rsidRPr="00CB2DE6">
        <w:rPr>
          <w:rFonts w:ascii="TT Supermolot" w:hAnsi="TT Supermolot" w:cstheme="minorHAnsi"/>
          <w:sz w:val="20"/>
          <w:szCs w:val="20"/>
          <w:lang w:val="en-US"/>
        </w:rPr>
        <w:t>Corrections, clarifications, retractions, and apologies may be published as needed to maintain the integrity o</w:t>
      </w:r>
      <w:bookmarkStart w:id="0" w:name="_GoBack"/>
      <w:bookmarkEnd w:id="0"/>
      <w:r w:rsidRPr="00CB2DE6">
        <w:rPr>
          <w:rFonts w:ascii="TT Supermolot" w:hAnsi="TT Supermolot" w:cstheme="minorHAnsi"/>
          <w:sz w:val="20"/>
          <w:szCs w:val="20"/>
          <w:lang w:val="en-US"/>
        </w:rPr>
        <w:t>f the academic record. Readers and authors are encouraged to engage in post-publication discussions to enhance the impact and accuracy of published research.</w:t>
      </w:r>
    </w:p>
    <w:p w:rsidR="00CB2DE6" w:rsidRPr="00CB2DE6" w:rsidRDefault="00CB2DE6" w:rsidP="00CB2DE6">
      <w:pPr>
        <w:rPr>
          <w:rFonts w:ascii="TT Supermolot" w:hAnsi="TT Supermolot" w:cstheme="minorHAnsi"/>
          <w:sz w:val="20"/>
          <w:szCs w:val="20"/>
          <w:lang w:val="en-US"/>
        </w:rPr>
      </w:pPr>
    </w:p>
    <w:p w:rsidR="00CB2DE6" w:rsidRPr="00CB2DE6" w:rsidRDefault="00CB2DE6" w:rsidP="00CB2DE6">
      <w:pPr>
        <w:rPr>
          <w:rFonts w:ascii="TT Supermolot" w:hAnsi="TT Supermolot" w:cstheme="minorHAnsi"/>
          <w:sz w:val="20"/>
          <w:szCs w:val="20"/>
          <w:lang w:val="en-US"/>
        </w:rPr>
      </w:pPr>
      <w:r w:rsidRPr="00CB2DE6">
        <w:rPr>
          <w:rFonts w:ascii="TT Supermolot" w:hAnsi="TT Supermolot" w:cstheme="minorHAnsi"/>
          <w:sz w:val="20"/>
          <w:szCs w:val="20"/>
          <w:lang w:val="en-US"/>
        </w:rPr>
        <w:t xml:space="preserve">By adhering to these principles, </w:t>
      </w:r>
      <w:r w:rsidRPr="00CB2DE6">
        <w:rPr>
          <w:rFonts w:ascii="TT Supermolot" w:hAnsi="TT Supermolot" w:cstheme="minorHAnsi"/>
          <w:i/>
          <w:iCs/>
          <w:sz w:val="20"/>
          <w:szCs w:val="20"/>
          <w:lang w:val="en-US"/>
        </w:rPr>
        <w:t>Transactions on Aerospace Research</w:t>
      </w:r>
      <w:r w:rsidRPr="00CB2DE6">
        <w:rPr>
          <w:rFonts w:ascii="TT Supermolot" w:hAnsi="TT Supermolot" w:cstheme="minorHAnsi"/>
          <w:sz w:val="20"/>
          <w:szCs w:val="20"/>
          <w:lang w:val="en-US"/>
        </w:rPr>
        <w:t xml:space="preserve"> upholds the integrity of the academic record and asserts its commitment to the highest standards of publishing ethics, reflecting the professional and ethical behavior expected in the scholarly community.</w:t>
      </w:r>
    </w:p>
    <w:p w:rsidR="002C5F1A" w:rsidRPr="00CB2DE6" w:rsidRDefault="002C5F1A" w:rsidP="002C5F1A">
      <w:pPr>
        <w:jc w:val="both"/>
        <w:rPr>
          <w:rFonts w:ascii="TT Supermolot" w:hAnsi="TT Supermolot"/>
          <w:sz w:val="20"/>
          <w:szCs w:val="20"/>
          <w:lang w:val="en-US"/>
        </w:rPr>
      </w:pPr>
    </w:p>
    <w:p w:rsidR="003821E6" w:rsidRPr="00CB2DE6" w:rsidRDefault="003821E6" w:rsidP="002C5F1A">
      <w:pPr>
        <w:jc w:val="both"/>
        <w:rPr>
          <w:rFonts w:ascii="TT Supermolot" w:hAnsi="TT Supermolot"/>
          <w:lang w:val="en-US"/>
        </w:rPr>
      </w:pPr>
    </w:p>
    <w:sectPr w:rsidR="003821E6" w:rsidRPr="00CB2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T Supermolot">
    <w:panose1 w:val="00000000000000000000"/>
    <w:charset w:val="00"/>
    <w:family w:val="modern"/>
    <w:notTrueType/>
    <w:pitch w:val="variable"/>
    <w:sig w:usb0="A000022F" w:usb1="10000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9DE"/>
    <w:multiLevelType w:val="hybridMultilevel"/>
    <w:tmpl w:val="5F42F8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1A"/>
    <w:rsid w:val="002C5F1A"/>
    <w:rsid w:val="003821E6"/>
    <w:rsid w:val="00452EEB"/>
    <w:rsid w:val="00663F0E"/>
    <w:rsid w:val="007254A0"/>
    <w:rsid w:val="00C84B08"/>
    <w:rsid w:val="00CB2DE6"/>
    <w:rsid w:val="00EB77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545CB-7196-468D-AF65-EFE6A825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5F1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5337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ILOT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Urbanowska Agata</dc:creator>
  <cp:keywords/>
  <dc:description/>
  <cp:lastModifiedBy>Urbanowska Agata</cp:lastModifiedBy>
  <cp:revision>4</cp:revision>
  <dcterms:created xsi:type="dcterms:W3CDTF">2024-04-25T04:59:00Z</dcterms:created>
  <dcterms:modified xsi:type="dcterms:W3CDTF">2024-04-25T05:02:00Z</dcterms:modified>
</cp:coreProperties>
</file>