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1A" w:rsidRPr="002C5F1A" w:rsidRDefault="002C5F1A" w:rsidP="002C5F1A">
      <w:pPr>
        <w:jc w:val="both"/>
        <w:rPr>
          <w:rFonts w:ascii="TT Supermolot" w:hAnsi="TT Supermolot"/>
          <w:b/>
          <w:bCs/>
          <w:sz w:val="64"/>
          <w:szCs w:val="64"/>
        </w:rPr>
      </w:pPr>
      <w:r w:rsidRPr="002C5F1A">
        <w:rPr>
          <w:rFonts w:ascii="TT Supermolot" w:hAnsi="TT Supermolot"/>
          <w:b/>
          <w:bCs/>
          <w:sz w:val="64"/>
          <w:szCs w:val="64"/>
        </w:rPr>
        <w:t xml:space="preserve">Zasady etyki i niewłaściwego postępowania </w:t>
      </w:r>
    </w:p>
    <w:p w:rsidR="002C5F1A" w:rsidRPr="002C5F1A" w:rsidRDefault="002C5F1A" w:rsidP="002C5F1A">
      <w:pPr>
        <w:jc w:val="both"/>
        <w:rPr>
          <w:rFonts w:ascii="TT Supermolot" w:hAnsi="TT Supermolot"/>
          <w:sz w:val="24"/>
          <w:szCs w:val="24"/>
        </w:rPr>
      </w:pPr>
    </w:p>
    <w:p w:rsidR="002C5F1A" w:rsidRPr="002C5F1A" w:rsidRDefault="002C5F1A" w:rsidP="002C5F1A">
      <w:pPr>
        <w:jc w:val="both"/>
        <w:rPr>
          <w:rFonts w:ascii="TT Supermolot" w:hAnsi="TT Supermolot"/>
        </w:rPr>
      </w:pPr>
    </w:p>
    <w:p w:rsidR="002C5F1A" w:rsidRPr="002C5F1A" w:rsidRDefault="002C5F1A" w:rsidP="002C5F1A">
      <w:pPr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>Oświadczenie dotyczące etyki wydawniczej i nadużyć</w:t>
      </w:r>
    </w:p>
    <w:p w:rsidR="002C5F1A" w:rsidRPr="002C5F1A" w:rsidRDefault="002C5F1A" w:rsidP="002C5F1A">
      <w:pPr>
        <w:jc w:val="both"/>
        <w:rPr>
          <w:rFonts w:ascii="TT Supermolot" w:hAnsi="TT Supermolot"/>
          <w:b/>
          <w:bCs/>
          <w:i/>
          <w:iCs/>
          <w:sz w:val="20"/>
          <w:szCs w:val="20"/>
        </w:rPr>
      </w:pPr>
      <w:proofErr w:type="spellStart"/>
      <w:r w:rsidRPr="002C5F1A">
        <w:rPr>
          <w:rFonts w:ascii="TT Supermolot" w:hAnsi="TT Supermolot"/>
          <w:b/>
          <w:bCs/>
          <w:i/>
          <w:iCs/>
          <w:sz w:val="20"/>
          <w:szCs w:val="20"/>
        </w:rPr>
        <w:t>Transactions</w:t>
      </w:r>
      <w:proofErr w:type="spellEnd"/>
      <w:r w:rsidRPr="002C5F1A">
        <w:rPr>
          <w:rFonts w:ascii="TT Supermolot" w:hAnsi="TT Supermolot"/>
          <w:b/>
          <w:bCs/>
          <w:i/>
          <w:iCs/>
          <w:sz w:val="20"/>
          <w:szCs w:val="20"/>
        </w:rPr>
        <w:t xml:space="preserve"> on Aerospace </w:t>
      </w:r>
      <w:proofErr w:type="spellStart"/>
      <w:r w:rsidRPr="002C5F1A">
        <w:rPr>
          <w:rFonts w:ascii="TT Supermolot" w:hAnsi="TT Supermolot"/>
          <w:b/>
          <w:bCs/>
          <w:i/>
          <w:iCs/>
          <w:sz w:val="20"/>
          <w:szCs w:val="20"/>
        </w:rPr>
        <w:t>Research</w:t>
      </w:r>
      <w:proofErr w:type="spellEnd"/>
    </w:p>
    <w:p w:rsidR="002C5F1A" w:rsidRPr="002C5F1A" w:rsidRDefault="002C5F1A" w:rsidP="002C5F1A">
      <w:pPr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>Sieć Badawcza Łukasiewicz - Instytut Lotnictwa, Warszawa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>Wprowadzenie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</w:rPr>
        <w:t xml:space="preserve">Niniejsze oświadczenie dotyczące etyki wydawniczej i potencjalnych nadużyć w związku z publikowaniem artykułów w czasopiśmie </w:t>
      </w:r>
      <w:proofErr w:type="spellStart"/>
      <w:r w:rsidRPr="002C5F1A">
        <w:rPr>
          <w:rFonts w:ascii="TT Supermolot" w:hAnsi="TT Supermolot"/>
          <w:i/>
          <w:iCs/>
          <w:sz w:val="20"/>
          <w:szCs w:val="20"/>
        </w:rPr>
        <w:t>Transactions</w:t>
      </w:r>
      <w:proofErr w:type="spellEnd"/>
      <w:r w:rsidRPr="002C5F1A">
        <w:rPr>
          <w:rFonts w:ascii="TT Supermolot" w:hAnsi="TT Supermolot"/>
          <w:i/>
          <w:iCs/>
          <w:sz w:val="20"/>
          <w:szCs w:val="20"/>
        </w:rPr>
        <w:t xml:space="preserve"> on Aerospace </w:t>
      </w:r>
      <w:proofErr w:type="spellStart"/>
      <w:r w:rsidRPr="002C5F1A">
        <w:rPr>
          <w:rFonts w:ascii="TT Supermolot" w:hAnsi="TT Supermolot"/>
          <w:i/>
          <w:iCs/>
          <w:sz w:val="20"/>
          <w:szCs w:val="20"/>
        </w:rPr>
        <w:t>Research</w:t>
      </w:r>
      <w:proofErr w:type="spellEnd"/>
      <w:r w:rsidRPr="002C5F1A">
        <w:rPr>
          <w:rFonts w:ascii="TT Supermolot" w:hAnsi="TT Supermolot"/>
          <w:sz w:val="20"/>
          <w:szCs w:val="20"/>
        </w:rPr>
        <w:t xml:space="preserve"> jest wyrazem naszego zaangażowania w przestrzeganie najwyższych standardów uczciwości w publikowaniu naukowym. Oświadczenie to określa etyczną odpowiedzialność i obowiązki wszystkich stron zaangażowanych w proces publikacji: wydawcy, redaktorów, recenzentów i autorów. Przestrzegając tych standardów, czasopismo zapewnia rygorystyczny, uczciwy i przejrzysty proces wzajemnej oceny, chroniąc integralność dorobku naukowego.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>Obowiązki wydawcy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</w:rPr>
        <w:t>Wydawca stoi na straży autonomii decyzji redakcyjnych, zapewniając wyraźny rozdział między interesami komercyjnymi a treściami redakcyjnymi. Wydawca jest odpowiedzialny za nadzorowanie całego procesu wydawniczego, zobowiązując się do ochrony praw własności intelektualnej oraz zapewnienia dostępności i ochrony publikowanych treści. Ponadto wydawca wspiera komunikację poprawek, wycofań i przeprosin, jeśli jest to konieczne.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>Obowiązki redaktorów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</w:rPr>
        <w:t xml:space="preserve">Redaktorzy mają obowiązek podejmować bezstronne i obiektywne decyzje, niezależne od względów komercyjnych, koncentrując się wyłącznie na wartości naukowej i trafności zgłoszeń. Zapewniają poufność w procesie recenzowania, szanują niezależność intelektualną autorów i aktywnie angażują się w ulepszanie procesów czasopisma. Na decyzje redaktorów nie może mieć wpływu rasa, płeć, orientacja seksualna, pochodzenie etniczne, obywatelstwo, przekonania religijne, filozofia polityczna ani przynależność instytucjonalna autorów. Redakcja czasopisma odgrywa kluczową rolę w obsłudze i rozwiązywaniu wszelkich konfliktów między autorami, recenzentami i redakcją. </w:t>
      </w:r>
      <w:proofErr w:type="spellStart"/>
      <w:r w:rsidRPr="002C5F1A">
        <w:rPr>
          <w:rFonts w:ascii="TT Supermolot" w:hAnsi="TT Supermolot"/>
          <w:i/>
          <w:iCs/>
          <w:sz w:val="20"/>
          <w:szCs w:val="20"/>
        </w:rPr>
        <w:t>Transactions</w:t>
      </w:r>
      <w:proofErr w:type="spellEnd"/>
      <w:r w:rsidRPr="002C5F1A">
        <w:rPr>
          <w:rFonts w:ascii="TT Supermolot" w:hAnsi="TT Supermolot"/>
          <w:i/>
          <w:iCs/>
          <w:sz w:val="20"/>
          <w:szCs w:val="20"/>
        </w:rPr>
        <w:t xml:space="preserve"> on Aerospace </w:t>
      </w:r>
      <w:proofErr w:type="spellStart"/>
      <w:r w:rsidRPr="002C5F1A">
        <w:rPr>
          <w:rFonts w:ascii="TT Supermolot" w:hAnsi="TT Supermolot"/>
          <w:i/>
          <w:iCs/>
          <w:sz w:val="20"/>
          <w:szCs w:val="20"/>
        </w:rPr>
        <w:t>Research</w:t>
      </w:r>
      <w:proofErr w:type="spellEnd"/>
      <w:r w:rsidRPr="002C5F1A">
        <w:rPr>
          <w:rFonts w:ascii="TT Supermolot" w:hAnsi="TT Supermolot"/>
          <w:i/>
          <w:iCs/>
          <w:sz w:val="20"/>
          <w:szCs w:val="20"/>
        </w:rPr>
        <w:t xml:space="preserve"> </w:t>
      </w:r>
      <w:r w:rsidRPr="002C5F1A">
        <w:rPr>
          <w:rFonts w:ascii="TT Supermolot" w:hAnsi="TT Supermolot"/>
          <w:sz w:val="20"/>
          <w:szCs w:val="20"/>
        </w:rPr>
        <w:t>traktuje bardzo poważnie wszelkie zarzuty dotyczące niewłaściwego prowadzenia badań naukowych. Obejmuje to między innymi plagiat, manipulację cytatami i fałszowanie/</w:t>
      </w:r>
      <w:r>
        <w:rPr>
          <w:rFonts w:ascii="TT Supermolot" w:hAnsi="TT Supermolot"/>
          <w:sz w:val="20"/>
          <w:szCs w:val="20"/>
        </w:rPr>
        <w:br/>
      </w:r>
      <w:r w:rsidRPr="002C5F1A">
        <w:rPr>
          <w:rFonts w:ascii="TT Supermolot" w:hAnsi="TT Supermolot"/>
          <w:sz w:val="20"/>
          <w:szCs w:val="20"/>
        </w:rPr>
        <w:t xml:space="preserve">fabrykowanie danych. Po otrzymaniu informacji o zarzutu czasopismo postępuje zgodnie z wytycznymi </w:t>
      </w:r>
      <w:proofErr w:type="spellStart"/>
      <w:r w:rsidRPr="002C5F1A">
        <w:rPr>
          <w:rFonts w:ascii="TT Supermolot" w:hAnsi="TT Supermolot"/>
          <w:sz w:val="20"/>
          <w:szCs w:val="20"/>
        </w:rPr>
        <w:t>COPE</w:t>
      </w:r>
      <w:proofErr w:type="spellEnd"/>
      <w:r w:rsidRPr="002C5F1A">
        <w:rPr>
          <w:rFonts w:ascii="TT Supermolot" w:hAnsi="TT Supermolot"/>
          <w:sz w:val="20"/>
          <w:szCs w:val="20"/>
        </w:rPr>
        <w:t xml:space="preserve"> (lub równoważnymi) w celu zbadania i rozwiązania sprawy.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Default="002C5F1A">
      <w:pPr>
        <w:rPr>
          <w:rFonts w:ascii="TT Supermolot" w:hAnsi="TT Supermolot" w:cs="Calibri"/>
          <w:b/>
          <w:bCs/>
          <w:sz w:val="20"/>
          <w:szCs w:val="20"/>
        </w:rPr>
      </w:pPr>
      <w:r>
        <w:rPr>
          <w:rFonts w:ascii="TT Supermolot" w:hAnsi="TT Supermolot"/>
          <w:b/>
          <w:bCs/>
          <w:sz w:val="20"/>
          <w:szCs w:val="20"/>
        </w:rPr>
        <w:br w:type="page"/>
      </w: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lastRenderedPageBreak/>
        <w:t>Obowiązki recenzentów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</w:rPr>
        <w:t xml:space="preserve">Recenzenci odgrywają kluczową rolę w utrzymaniu integralności procesu recenzowania. Są oni zobowiązani do traktowania </w:t>
      </w:r>
      <w:proofErr w:type="gramStart"/>
      <w:r w:rsidRPr="002C5F1A">
        <w:rPr>
          <w:rFonts w:ascii="TT Supermolot" w:hAnsi="TT Supermolot"/>
          <w:sz w:val="20"/>
          <w:szCs w:val="20"/>
        </w:rPr>
        <w:t>manuskryptów jako</w:t>
      </w:r>
      <w:proofErr w:type="gramEnd"/>
      <w:r w:rsidRPr="002C5F1A">
        <w:rPr>
          <w:rFonts w:ascii="TT Supermolot" w:hAnsi="TT Supermolot"/>
          <w:sz w:val="20"/>
          <w:szCs w:val="20"/>
        </w:rPr>
        <w:t xml:space="preserve"> dokumentów poufnych i powstrzymania się od wykorzystywania informacji uzyskanych podczas recenzji dla osobistych korzyści. Recenzenci muszą </w:t>
      </w:r>
      <w:proofErr w:type="gramStart"/>
      <w:r w:rsidRPr="002C5F1A">
        <w:rPr>
          <w:rFonts w:ascii="TT Supermolot" w:hAnsi="TT Supermolot"/>
          <w:sz w:val="20"/>
          <w:szCs w:val="20"/>
        </w:rPr>
        <w:t>oceniać jakość</w:t>
      </w:r>
      <w:proofErr w:type="gramEnd"/>
      <w:r w:rsidRPr="002C5F1A">
        <w:rPr>
          <w:rFonts w:ascii="TT Supermolot" w:hAnsi="TT Supermolot"/>
          <w:sz w:val="20"/>
          <w:szCs w:val="20"/>
        </w:rPr>
        <w:t xml:space="preserve"> manuskryptu obiektywnie, na podstawie jego wartości merytorycznej, szanując niezależność intelektualną autorów. Krytyka osobista jest niedopuszczalna. Recenzenci powinni unikać konfliktu interesów, ujawniać wszelkie potencjalne uprzedzenia i traktować </w:t>
      </w:r>
      <w:proofErr w:type="gramStart"/>
      <w:r w:rsidRPr="002C5F1A">
        <w:rPr>
          <w:rFonts w:ascii="TT Supermolot" w:hAnsi="TT Supermolot"/>
          <w:sz w:val="20"/>
          <w:szCs w:val="20"/>
        </w:rPr>
        <w:t>manuskrypt jako</w:t>
      </w:r>
      <w:proofErr w:type="gramEnd"/>
      <w:r w:rsidRPr="002C5F1A">
        <w:rPr>
          <w:rFonts w:ascii="TT Supermolot" w:hAnsi="TT Supermolot"/>
          <w:sz w:val="20"/>
          <w:szCs w:val="20"/>
        </w:rPr>
        <w:t xml:space="preserve"> dokument poufny, którego nie należy pokazywać ani omawiać z innymi osobami, z wyjątkiem konkretnych porad. Recenzenci muszą przedstawić jasne, kompletne i przekonujące wyjaśnienia swoich ocen, zwłaszcza w przypadku negatywnych opinii, oraz powiadomić redaktora o wszelkich istotnych podobieństwach z innymi pracami.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>Obowiązki autorów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</w:rPr>
        <w:t>Autorzy są zobligowani do przedstawienia dokładnego i szczegółowego opisu swoich badań, zachowując oryginalność i odpowiednie cytowanie wcześniejszych prac. Każdy manuskrypt musi zawierać wystarczające informacje i odniesienia do publicznych źródeł, aby umożliwić powielenie badania lub zweryfikowanie jego dokładności. Autorzy powinni prawidłowo cytować wszystkie prace, które wpłynęły na ich badania i unikać wykorzystywania informacji uzyskanych prywatnie bez wyraźnej zgody. Manuskrypt nie może stanowić plagiatu, zawierać sfałszowanych danych badawczych ani niewłaściwego fragmentaryzowania prac. Autorzy są również zobowiązani do informowania redaktora o wszelkich powiązanych manuskryptach rozpatrywanych w innych miejscach i unikania zgłaszania tych samych badań do wielu czasopism. Muszą oni również uzyskać wszelkie niezbędne zgody na wykorzystanie materiałów chronionych prawem autorskim oraz zapewnić zgodność z zasadami etyki w badaniach z udziałem ludzi lub zwierząt.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 xml:space="preserve">Nadzór etyczny i postępowanie w przypadku nieetycznych </w:t>
      </w:r>
      <w:proofErr w:type="spellStart"/>
      <w:r w:rsidRPr="002C5F1A">
        <w:rPr>
          <w:rFonts w:ascii="TT Supermolot" w:hAnsi="TT Supermolot"/>
          <w:b/>
          <w:bCs/>
          <w:sz w:val="20"/>
          <w:szCs w:val="20"/>
        </w:rPr>
        <w:t>zachowań</w:t>
      </w:r>
      <w:proofErr w:type="spellEnd"/>
      <w:r w:rsidRPr="002C5F1A">
        <w:rPr>
          <w:rFonts w:ascii="TT Supermolot" w:hAnsi="TT Supermolot"/>
          <w:b/>
          <w:bCs/>
          <w:sz w:val="20"/>
          <w:szCs w:val="20"/>
        </w:rPr>
        <w:t xml:space="preserve"> 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</w:rPr>
        <w:t xml:space="preserve">Czasopismo sprawuje nadzór etyczny nad całym procesem publikacji w celu utrzymania standardów oczekiwanych w publikacjach naukowych. W przypadkach </w:t>
      </w:r>
      <w:proofErr w:type="spellStart"/>
      <w:r w:rsidRPr="002C5F1A">
        <w:rPr>
          <w:rFonts w:ascii="TT Supermolot" w:hAnsi="TT Supermolot"/>
          <w:sz w:val="20"/>
          <w:szCs w:val="20"/>
        </w:rPr>
        <w:t>zachowań</w:t>
      </w:r>
      <w:proofErr w:type="spellEnd"/>
      <w:r w:rsidRPr="002C5F1A">
        <w:rPr>
          <w:rFonts w:ascii="TT Supermolot" w:hAnsi="TT Supermolot"/>
          <w:sz w:val="20"/>
          <w:szCs w:val="20"/>
        </w:rPr>
        <w:t xml:space="preserve"> nieetycznych, takich jak kwestionowane autorstwo, oszustwa badawcze lub plagiat, czasopismo przeprowadzi dochodzenie i podejmie działania zgodnie z wytycznymi </w:t>
      </w:r>
      <w:proofErr w:type="spellStart"/>
      <w:r w:rsidRPr="002C5F1A">
        <w:rPr>
          <w:rFonts w:ascii="TT Supermolot" w:hAnsi="TT Supermolot"/>
          <w:sz w:val="20"/>
          <w:szCs w:val="20"/>
        </w:rPr>
        <w:t>COPE</w:t>
      </w:r>
      <w:proofErr w:type="spellEnd"/>
      <w:r w:rsidRPr="002C5F1A">
        <w:rPr>
          <w:rFonts w:ascii="TT Supermolot" w:hAnsi="TT Supermolot"/>
          <w:sz w:val="20"/>
          <w:szCs w:val="20"/>
        </w:rPr>
        <w:t>. Zarzuty dotyczące niewłaściwego postępowania naukowego lub nieuczciwej publikacji będą skutkować odpowiednimi działaniami, w tym korektami publikacji, wycofaniem lub usunięciem artykułu, z zachowaniem przejrzystości w procesie rozwiązywania. Takie incydenty będą ponadto zgłaszane odpowiednim organom.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>Otwarty dostęp i opłaty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  <w:lang w:val="en-US"/>
        </w:rPr>
        <w:t xml:space="preserve">„Transactions on Aerospace Research” jest </w:t>
      </w:r>
      <w:proofErr w:type="spellStart"/>
      <w:r w:rsidRPr="002C5F1A">
        <w:rPr>
          <w:rFonts w:ascii="TT Supermolot" w:hAnsi="TT Supermolot"/>
          <w:sz w:val="20"/>
          <w:szCs w:val="20"/>
          <w:lang w:val="en-US"/>
        </w:rPr>
        <w:t>czasopismem</w:t>
      </w:r>
      <w:proofErr w:type="spellEnd"/>
      <w:r w:rsidRPr="002C5F1A">
        <w:rPr>
          <w:rFonts w:ascii="TT Supermolot" w:hAnsi="TT Supermolot"/>
          <w:sz w:val="20"/>
          <w:szCs w:val="20"/>
          <w:lang w:val="en-US"/>
        </w:rPr>
        <w:t xml:space="preserve"> Open Access. </w:t>
      </w:r>
      <w:r w:rsidRPr="002C5F1A">
        <w:rPr>
          <w:rFonts w:ascii="TT Supermolot" w:hAnsi="TT Supermolot"/>
          <w:sz w:val="20"/>
          <w:szCs w:val="20"/>
        </w:rPr>
        <w:t>Nie pobieramy żadnych opłat za przetwarzanie artykułów ani innych opłat za publikację. Takie podejście jest zgodne z naszą misją swobodnego i szerokiego rozpowszechniania najnowszych badań.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t xml:space="preserve">Zasady czasopism dotyczące udostępniania i odtwarzalności danych </w:t>
      </w:r>
    </w:p>
    <w:p w:rsidR="002C5F1A" w:rsidRPr="002C5F1A" w:rsidRDefault="002C5F1A" w:rsidP="002C5F1A">
      <w:pPr>
        <w:jc w:val="both"/>
        <w:rPr>
          <w:rFonts w:ascii="TT Supermolot" w:hAnsi="TT Supermolot"/>
          <w:b/>
          <w:bCs/>
          <w:sz w:val="20"/>
          <w:szCs w:val="20"/>
        </w:rPr>
      </w:pPr>
      <w:proofErr w:type="spellStart"/>
      <w:r w:rsidRPr="002C5F1A">
        <w:rPr>
          <w:rFonts w:ascii="TT Supermolot" w:hAnsi="TT Supermolot"/>
          <w:i/>
          <w:iCs/>
          <w:sz w:val="20"/>
          <w:szCs w:val="20"/>
        </w:rPr>
        <w:t>Transactions</w:t>
      </w:r>
      <w:proofErr w:type="spellEnd"/>
      <w:r w:rsidRPr="002C5F1A">
        <w:rPr>
          <w:rFonts w:ascii="TT Supermolot" w:hAnsi="TT Supermolot"/>
          <w:i/>
          <w:iCs/>
          <w:sz w:val="20"/>
          <w:szCs w:val="20"/>
        </w:rPr>
        <w:t xml:space="preserve"> on Aerospace </w:t>
      </w:r>
      <w:proofErr w:type="spellStart"/>
      <w:r w:rsidRPr="002C5F1A">
        <w:rPr>
          <w:rFonts w:ascii="TT Supermolot" w:hAnsi="TT Supermolot"/>
          <w:i/>
          <w:iCs/>
          <w:sz w:val="20"/>
          <w:szCs w:val="20"/>
        </w:rPr>
        <w:t>Research</w:t>
      </w:r>
      <w:proofErr w:type="spellEnd"/>
      <w:r w:rsidRPr="002C5F1A">
        <w:rPr>
          <w:rFonts w:ascii="TT Supermolot" w:hAnsi="TT Supermolot"/>
          <w:sz w:val="20"/>
          <w:szCs w:val="20"/>
        </w:rPr>
        <w:t xml:space="preserve"> zachęca autorów do udostępniania wszelkich danych i metod wykorzystywanych w ich badaniach w sposób odpowiedzialny i etyczny. Autorzy są zachęcani do zapewnienia dostępu do danych, które wspierają wyniki ich badań, tam gdzie jest to właściwe i wykonalne, zgodnie z normami i oczekiwaniami dyscyplinarnymi. Czasopismo wspiera replikację i odtwarzalność badań oraz zachęca autorów do przejrzystości w zakresie odtwarzalności ich wyników.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</w:p>
    <w:p w:rsidR="002C5F1A" w:rsidRDefault="002C5F1A">
      <w:pPr>
        <w:rPr>
          <w:rFonts w:ascii="TT Supermolot" w:hAnsi="TT Supermolot" w:cs="Calibri"/>
          <w:b/>
          <w:bCs/>
          <w:sz w:val="20"/>
          <w:szCs w:val="20"/>
        </w:rPr>
      </w:pPr>
      <w:r>
        <w:rPr>
          <w:rFonts w:ascii="TT Supermolot" w:hAnsi="TT Supermolot"/>
          <w:b/>
          <w:bCs/>
          <w:sz w:val="20"/>
          <w:szCs w:val="20"/>
        </w:rPr>
        <w:br w:type="page"/>
      </w:r>
    </w:p>
    <w:p w:rsidR="002C5F1A" w:rsidRPr="002C5F1A" w:rsidRDefault="002C5F1A" w:rsidP="002C5F1A">
      <w:pPr>
        <w:pStyle w:val="Akapitzlist"/>
        <w:numPr>
          <w:ilvl w:val="0"/>
          <w:numId w:val="1"/>
        </w:numPr>
        <w:ind w:left="284" w:hanging="284"/>
        <w:jc w:val="both"/>
        <w:rPr>
          <w:rFonts w:ascii="TT Supermolot" w:hAnsi="TT Supermolot"/>
          <w:b/>
          <w:bCs/>
          <w:sz w:val="20"/>
          <w:szCs w:val="20"/>
        </w:rPr>
      </w:pPr>
      <w:r w:rsidRPr="002C5F1A">
        <w:rPr>
          <w:rFonts w:ascii="TT Supermolot" w:hAnsi="TT Supermolot"/>
          <w:b/>
          <w:bCs/>
          <w:sz w:val="20"/>
          <w:szCs w:val="20"/>
        </w:rPr>
        <w:lastRenderedPageBreak/>
        <w:t>Dyskusje i poprawki po publikacji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</w:rPr>
        <w:t>Czasopismo zapewnia platformę do dyskusji po publikacji w celu ułatwienia dyskursu naukowego. Korekty, wyjaśnienia, wycofania i przeprosiny mogą być publikowane w razie potrzeby w celu zachowania integralności dokumentacji akademickiej. Zachęcamy czytelników i autorów do angażowania się w dyskusje po publikacji w celu zwiększenia wpływu i dokładności opublikowanych badań.</w:t>
      </w:r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bookmarkStart w:id="0" w:name="_GoBack"/>
      <w:bookmarkEnd w:id="0"/>
    </w:p>
    <w:p w:rsidR="002C5F1A" w:rsidRPr="002C5F1A" w:rsidRDefault="002C5F1A" w:rsidP="002C5F1A">
      <w:pPr>
        <w:jc w:val="both"/>
        <w:rPr>
          <w:rFonts w:ascii="TT Supermolot" w:hAnsi="TT Supermolot"/>
          <w:sz w:val="20"/>
          <w:szCs w:val="20"/>
        </w:rPr>
      </w:pPr>
      <w:r w:rsidRPr="002C5F1A">
        <w:rPr>
          <w:rFonts w:ascii="TT Supermolot" w:hAnsi="TT Supermolot"/>
          <w:sz w:val="20"/>
          <w:szCs w:val="20"/>
        </w:rPr>
        <w:t xml:space="preserve">Przestrzegając tych zasad, </w:t>
      </w:r>
      <w:proofErr w:type="spellStart"/>
      <w:r w:rsidRPr="002C5F1A">
        <w:rPr>
          <w:rFonts w:ascii="TT Supermolot" w:hAnsi="TT Supermolot"/>
          <w:i/>
          <w:iCs/>
          <w:sz w:val="20"/>
          <w:szCs w:val="20"/>
        </w:rPr>
        <w:t>Transactions</w:t>
      </w:r>
      <w:proofErr w:type="spellEnd"/>
      <w:r w:rsidRPr="002C5F1A">
        <w:rPr>
          <w:rFonts w:ascii="TT Supermolot" w:hAnsi="TT Supermolot"/>
          <w:i/>
          <w:iCs/>
          <w:sz w:val="20"/>
          <w:szCs w:val="20"/>
        </w:rPr>
        <w:t xml:space="preserve"> on Aerospace </w:t>
      </w:r>
      <w:proofErr w:type="spellStart"/>
      <w:r w:rsidRPr="002C5F1A">
        <w:rPr>
          <w:rFonts w:ascii="TT Supermolot" w:hAnsi="TT Supermolot"/>
          <w:i/>
          <w:iCs/>
          <w:sz w:val="20"/>
          <w:szCs w:val="20"/>
        </w:rPr>
        <w:t>Research</w:t>
      </w:r>
      <w:proofErr w:type="spellEnd"/>
      <w:r w:rsidRPr="002C5F1A">
        <w:rPr>
          <w:rFonts w:ascii="TT Supermolot" w:hAnsi="TT Supermolot"/>
          <w:i/>
          <w:iCs/>
          <w:sz w:val="20"/>
          <w:szCs w:val="20"/>
        </w:rPr>
        <w:t xml:space="preserve"> </w:t>
      </w:r>
      <w:r w:rsidRPr="002C5F1A">
        <w:rPr>
          <w:rFonts w:ascii="TT Supermolot" w:hAnsi="TT Supermolot"/>
          <w:sz w:val="20"/>
          <w:szCs w:val="20"/>
        </w:rPr>
        <w:t>stoi na straży integralności dorobku naukowego i potwierdza swoje zaangażowanie w przestrzeganie najwyższych standardów etyki wydawniczej, odzwierciedlając profesjonalne i etyczne zachowanie oczekiwane w społeczności naukowej.</w:t>
      </w:r>
    </w:p>
    <w:p w:rsidR="003821E6" w:rsidRPr="002C5F1A" w:rsidRDefault="003821E6" w:rsidP="002C5F1A">
      <w:pPr>
        <w:jc w:val="both"/>
        <w:rPr>
          <w:rFonts w:ascii="TT Supermolot" w:hAnsi="TT Supermolot"/>
        </w:rPr>
      </w:pPr>
    </w:p>
    <w:sectPr w:rsidR="003821E6" w:rsidRPr="002C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 Supermolot">
    <w:panose1 w:val="00000000000000000000"/>
    <w:charset w:val="00"/>
    <w:family w:val="modern"/>
    <w:notTrueType/>
    <w:pitch w:val="variable"/>
    <w:sig w:usb0="A000022F" w:usb1="10000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9DE"/>
    <w:multiLevelType w:val="hybridMultilevel"/>
    <w:tmpl w:val="5F42F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1A"/>
    <w:rsid w:val="002C5F1A"/>
    <w:rsid w:val="003821E6"/>
    <w:rsid w:val="007254A0"/>
    <w:rsid w:val="00C84B08"/>
    <w:rsid w:val="00E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8100"/>
  <w15:chartTrackingRefBased/>
  <w15:docId w15:val="{10D545CB-7196-468D-AF65-EFE6A825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F1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911</Words>
  <Characters>5470</Characters>
  <Application>Microsoft Office Word</Application>
  <DocSecurity>0</DocSecurity>
  <Lines>45</Lines>
  <Paragraphs>12</Paragraphs>
  <ScaleCrop>false</ScaleCrop>
  <Company>ILOT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Urbanowska Agata</dc:creator>
  <cp:keywords/>
  <dc:description/>
  <cp:lastModifiedBy>Urbanowska Agata</cp:lastModifiedBy>
  <cp:revision>1</cp:revision>
  <dcterms:created xsi:type="dcterms:W3CDTF">2024-04-11T10:27:00Z</dcterms:created>
  <dcterms:modified xsi:type="dcterms:W3CDTF">2024-04-11T10:30:00Z</dcterms:modified>
</cp:coreProperties>
</file>